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C77" w:rsidRDefault="005947A0">
      <w:pPr>
        <w:rPr>
          <w:rFonts w:ascii="Times New Roman" w:eastAsia="Times New Roman" w:hAnsi="Times New Roman" w:cs="Times New Roman"/>
          <w:sz w:val="20"/>
          <w:szCs w:val="20"/>
        </w:rPr>
      </w:pPr>
      <w:bookmarkStart w:id="0" w:name="_GoBack"/>
      <w:bookmarkEnd w:id="0"/>
      <w:r>
        <w:pict>
          <v:group id="_x0000_s1032" style="position:absolute;margin-left:0;margin-top:0;width:612pt;height:86.25pt;z-index:1048;mso-position-horizontal-relative:page;mso-position-vertical-relative:page" coordsize="12240,1725">
            <v:group id="_x0000_s1047" style="position:absolute;width:9130;height:1550" coordsize="9130,1550">
              <v:shape id="_x0000_s1048" style="position:absolute;width:9130;height:1550" coordsize="9130,1550" path="m,1550r9129,l9129,,,,,1550xe" fillcolor="#69cbdb" stroked="f">
                <v:path arrowok="t"/>
              </v:shape>
            </v:group>
            <v:group id="_x0000_s1045" style="position:absolute;left:436;top:395;width:349;height:349" coordorigin="436,395" coordsize="349,349">
              <v:shape id="_x0000_s1046" style="position:absolute;left:436;top:395;width:349;height:349" coordorigin="436,395" coordsize="349,349" path="m471,395r-28,2l437,414r-1,295l439,737r17,7l751,744r27,-3l785,724r,-295l783,402r-17,-7l471,395xe" fillcolor="#99d8e4" stroked="f">
                <v:path arrowok="t"/>
              </v:shape>
            </v:group>
            <v:group id="_x0000_s1043" style="position:absolute;left:839;top:395;width:349;height:349" coordorigin="839,395" coordsize="349,349">
              <v:shape id="_x0000_s1044" style="position:absolute;left:839;top:395;width:349;height:349" coordorigin="839,395" coordsize="349,349" path="m873,395r-27,2l839,414r,295l841,737r17,7l1154,744r27,-3l1188,724r,-295l1185,402r-17,-7l873,395xe" fillcolor="#cbeaf0" stroked="f">
                <v:path arrowok="t"/>
              </v:shape>
            </v:group>
            <v:group id="_x0000_s1041" style="position:absolute;left:436;top:810;width:349;height:349" coordorigin="436,810" coordsize="349,349">
              <v:shape id="_x0000_s1042" style="position:absolute;left:436;top:810;width:349;height:349" coordorigin="436,810" coordsize="349,349" path="m471,810r-28,2l437,829r-1,295l439,1152r17,6l751,1159r27,-3l785,1139r,-295l783,817r-17,-7l471,810xe" fillcolor="#a8dde7" stroked="f">
                <v:path arrowok="t"/>
              </v:shape>
            </v:group>
            <v:group id="_x0000_s1038" style="position:absolute;left:839;top:810;width:349;height:349" coordorigin="839,810" coordsize="349,349">
              <v:shape id="_x0000_s1040" style="position:absolute;left:839;top:810;width:349;height:349" coordorigin="839,810" coordsize="349,349" path="m873,810r-27,2l839,829r,295l841,1152r17,6l1154,1159r27,-3l1188,1139r,-295l1185,817r-17,-7l873,810xe" fillcolor="#e3f3f6"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9130;width:3110;height:1603">
                <v:imagedata r:id="rId6" o:title=""/>
              </v:shape>
            </v:group>
            <v:group id="_x0000_s1036" style="position:absolute;left:9129;width:3111;height:1550" coordorigin="9129" coordsize="3111,1550">
              <v:shape id="_x0000_s1037" style="position:absolute;left:9129;width:3111;height:1550" coordorigin="9129" coordsize="3111,1550" path="m9129,1550r3111,l12240,,9129,r,1550xe" fillcolor="#69cbdb" stroked="f">
                <v:path arrowok="t"/>
              </v:shape>
            </v:group>
            <v:group id="_x0000_s1033" style="position:absolute;top:1550;width:12240;height:175" coordorigin=",1550" coordsize="12240,175">
              <v:shape id="_x0000_s1035" style="position:absolute;top:1550;width:12240;height:175" coordorigin=",1550" coordsize="12240,175" path="m,1550r,175l12240,1725r,-175l,1550xe" fillcolor="#231f20" stroked="f">
                <v:path arrowok="t"/>
              </v:shape>
              <v:shapetype id="_x0000_t202" coordsize="21600,21600" o:spt="202" path="m,l,21600r21600,l21600,xe">
                <v:stroke joinstyle="miter"/>
                <v:path gradientshapeok="t" o:connecttype="rect"/>
              </v:shapetype>
              <v:shape id="_x0000_s1034" type="#_x0000_t202" style="position:absolute;width:12240;height:1725" filled="f" stroked="f">
                <v:textbox inset="0,0,0,0">
                  <w:txbxContent>
                    <w:p w:rsidR="00411C77" w:rsidRPr="00D66B38" w:rsidRDefault="00D66B38" w:rsidP="00D66B38">
                      <w:pPr>
                        <w:spacing w:before="364" w:line="514" w:lineRule="exact"/>
                        <w:ind w:left="1456"/>
                        <w:rPr>
                          <w:rFonts w:ascii="Trebuchet MS" w:eastAsia="Trebuchet MS" w:hAnsi="Trebuchet MS" w:cs="Trebuchet MS"/>
                          <w:sz w:val="56"/>
                          <w:szCs w:val="56"/>
                        </w:rPr>
                      </w:pPr>
                      <w:r w:rsidRPr="00D66B38">
                        <w:rPr>
                          <w:rFonts w:ascii="Trebuchet MS"/>
                          <w:b/>
                          <w:color w:val="231F20"/>
                          <w:spacing w:val="1"/>
                          <w:sz w:val="56"/>
                          <w:szCs w:val="56"/>
                        </w:rPr>
                        <w:t xml:space="preserve">Chronic Pain Self-Management Program </w:t>
                      </w:r>
                    </w:p>
                  </w:txbxContent>
                </v:textbox>
              </v:shape>
            </v:group>
            <w10:wrap anchorx="page" anchory="page"/>
          </v:group>
        </w:pict>
      </w: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spacing w:before="4"/>
        <w:rPr>
          <w:rFonts w:ascii="Times New Roman" w:eastAsia="Times New Roman" w:hAnsi="Times New Roman" w:cs="Times New Roman"/>
          <w:sz w:val="26"/>
          <w:szCs w:val="26"/>
        </w:rPr>
      </w:pPr>
    </w:p>
    <w:p w:rsidR="00411C77" w:rsidRPr="00D66B38" w:rsidRDefault="00D66B38">
      <w:pPr>
        <w:pStyle w:val="BodyText"/>
        <w:spacing w:before="37" w:line="360" w:lineRule="exact"/>
        <w:ind w:right="855"/>
        <w:rPr>
          <w:sz w:val="24"/>
          <w:szCs w:val="24"/>
        </w:rPr>
      </w:pPr>
      <w:r w:rsidRPr="00D66B38">
        <w:rPr>
          <w:sz w:val="24"/>
          <w:szCs w:val="24"/>
        </w:rPr>
        <w:t>The Chronic Pain Self-Management Program (CPSMP) is an evidenced-based, self-management workshop developed by Stanford University.  Consisting of a weekly 2.5 hour workshop for six consecutive weeks, group classes are highly participative, where mutual support and success build the participants’ confidence in their ability to manage their health conditions and maintai</w:t>
      </w:r>
      <w:r w:rsidR="001C7E89">
        <w:rPr>
          <w:sz w:val="24"/>
          <w:szCs w:val="24"/>
        </w:rPr>
        <w:t xml:space="preserve">n active and fulfilling lives. </w:t>
      </w:r>
      <w:r w:rsidRPr="00D66B38">
        <w:rPr>
          <w:sz w:val="24"/>
          <w:szCs w:val="24"/>
        </w:rPr>
        <w:t>CPSMP empowers participants and teaches them the skills needed to better manage their health condition and their pain.</w:t>
      </w:r>
      <w:r w:rsidR="005947A0">
        <w:rPr>
          <w:sz w:val="24"/>
          <w:szCs w:val="24"/>
        </w:rPr>
        <w:pict>
          <v:group id="_x0000_s1030" style="position:absolute;left:0;text-align:left;margin-left:36pt;margin-top:3pt;width:17.45pt;height:17.45pt;z-index:1072;mso-position-horizontal-relative:page;mso-position-vertical-relative:text" coordorigin="720,60" coordsize="349,349">
            <v:shape id="_x0000_s1031" style="position:absolute;left:720;top:60;width:349;height:349" coordorigin="720,60" coordsize="349,349" path="m754,60r-27,2l720,79r,296l722,402r17,7l1035,409r27,-3l1069,389r,-295l1066,67r-17,-7l754,60xe" fillcolor="#69cbdb" stroked="f">
              <v:path arrowok="t"/>
            </v:shape>
            <w10:wrap anchorx="page"/>
          </v:group>
        </w:pict>
      </w:r>
    </w:p>
    <w:p w:rsidR="00411C77" w:rsidRPr="00D66B38" w:rsidRDefault="00411C77">
      <w:pPr>
        <w:spacing w:before="6"/>
        <w:rPr>
          <w:rFonts w:ascii="Calibri" w:eastAsia="Calibri" w:hAnsi="Calibri" w:cs="Calibri"/>
          <w:sz w:val="24"/>
          <w:szCs w:val="24"/>
        </w:rPr>
      </w:pPr>
    </w:p>
    <w:p w:rsidR="00D66B38" w:rsidRPr="00D66B38" w:rsidRDefault="00D66B38">
      <w:pPr>
        <w:spacing w:before="6"/>
        <w:rPr>
          <w:rFonts w:ascii="Calibri" w:eastAsia="Calibri" w:hAnsi="Calibri" w:cs="Calibri"/>
          <w:sz w:val="24"/>
          <w:szCs w:val="24"/>
        </w:rPr>
      </w:pPr>
      <w:r w:rsidRPr="00D66B38">
        <w:rPr>
          <w:rFonts w:ascii="Calibri" w:eastAsia="Calibri" w:hAnsi="Calibri" w:cs="Calibri"/>
          <w:sz w:val="24"/>
          <w:szCs w:val="24"/>
        </w:rPr>
        <w:t xml:space="preserve">                    </w:t>
      </w:r>
      <w:r>
        <w:rPr>
          <w:rFonts w:ascii="Calibri" w:eastAsia="Calibri" w:hAnsi="Calibri" w:cs="Calibri"/>
          <w:sz w:val="24"/>
          <w:szCs w:val="24"/>
        </w:rPr>
        <w:t xml:space="preserve">     </w:t>
      </w:r>
      <w:r w:rsidRPr="00D66B38">
        <w:rPr>
          <w:rFonts w:ascii="Calibri" w:eastAsia="Calibri" w:hAnsi="Calibri" w:cs="Calibri"/>
          <w:sz w:val="24"/>
          <w:szCs w:val="24"/>
        </w:rPr>
        <w:t>Subjects covered include:</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Techniques to deal with problems such as frustration, fatigue, isolation, and poor shape</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Appropriate exercise for improving and maintaining strength, flexibility, and endurance</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 xml:space="preserve">Appropriate use of medications </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 xml:space="preserve">Communicating effectively with family, friends, and health professionals </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 xml:space="preserve">Nutrition </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Pacing activity and rest</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 xml:space="preserve">How to evaluate new treatments </w:t>
      </w:r>
    </w:p>
    <w:p w:rsidR="00411C77" w:rsidRDefault="00411C77">
      <w:pPr>
        <w:pStyle w:val="BodyText"/>
        <w:spacing w:line="360" w:lineRule="exact"/>
        <w:ind w:right="755"/>
      </w:pPr>
    </w:p>
    <w:p w:rsidR="001C7E89" w:rsidRDefault="001C7E89" w:rsidP="001C7E89">
      <w:pPr>
        <w:pStyle w:val="BodyText"/>
        <w:spacing w:line="360" w:lineRule="exact"/>
        <w:ind w:right="755"/>
        <w:rPr>
          <w:sz w:val="24"/>
          <w:szCs w:val="24"/>
        </w:rPr>
      </w:pPr>
      <w:r w:rsidRPr="001C7E89">
        <w:rPr>
          <w:sz w:val="24"/>
          <w:szCs w:val="24"/>
        </w:rPr>
        <w:t>Participants who complete CPSMP report an overall improvement in their quality of life, including such indicators as having more energy and vitality, experiencing less pain, being less dependent on others, being more emotionally healthy, and more involved in everyday activities</w:t>
      </w:r>
      <w:r>
        <w:rPr>
          <w:sz w:val="24"/>
          <w:szCs w:val="24"/>
        </w:rPr>
        <w:t xml:space="preserve">. </w:t>
      </w:r>
      <w:r w:rsidRPr="001C7E89">
        <w:rPr>
          <w:sz w:val="24"/>
          <w:szCs w:val="24"/>
        </w:rPr>
        <w:t>They also report that they have lower medical bills and hospital utilization rates.</w:t>
      </w:r>
    </w:p>
    <w:p w:rsidR="001C7E89" w:rsidRDefault="001C7E89" w:rsidP="001C7E89">
      <w:pPr>
        <w:pStyle w:val="BodyText"/>
        <w:spacing w:line="360" w:lineRule="exact"/>
        <w:ind w:right="755"/>
        <w:rPr>
          <w:sz w:val="24"/>
          <w:szCs w:val="24"/>
        </w:rPr>
      </w:pPr>
    </w:p>
    <w:p w:rsidR="001C7E89" w:rsidRPr="001C7E89" w:rsidRDefault="001C7E89" w:rsidP="001C7E89">
      <w:pPr>
        <w:pStyle w:val="BodyText"/>
        <w:spacing w:line="360" w:lineRule="exact"/>
        <w:ind w:right="755"/>
        <w:rPr>
          <w:sz w:val="24"/>
          <w:szCs w:val="24"/>
        </w:rPr>
      </w:pPr>
      <w:r w:rsidRPr="001C7E89">
        <w:rPr>
          <w:sz w:val="24"/>
          <w:szCs w:val="24"/>
        </w:rPr>
        <w:t xml:space="preserve">CPSMP does not conflict with existing programs or treatment, but rather is designed to enhance </w:t>
      </w:r>
      <w:r>
        <w:rPr>
          <w:sz w:val="24"/>
          <w:szCs w:val="24"/>
        </w:rPr>
        <w:t xml:space="preserve">other treatment. </w:t>
      </w:r>
      <w:r w:rsidRPr="001C7E89">
        <w:rPr>
          <w:sz w:val="24"/>
          <w:szCs w:val="24"/>
        </w:rPr>
        <w:t>The program gives participants the skills to coordinate all the things needed to manage their health, as well as to help them keep active in their lives.</w:t>
      </w:r>
    </w:p>
    <w:p w:rsidR="001C7E89" w:rsidRDefault="001C7E89" w:rsidP="001C7E89">
      <w:pPr>
        <w:pStyle w:val="BodyText"/>
        <w:spacing w:line="360" w:lineRule="exact"/>
        <w:ind w:right="755"/>
        <w:rPr>
          <w:sz w:val="24"/>
          <w:szCs w:val="24"/>
        </w:rPr>
      </w:pPr>
    </w:p>
    <w:p w:rsidR="001C7E89" w:rsidRPr="001C7E89" w:rsidRDefault="001C7E89" w:rsidP="001C7E89">
      <w:pPr>
        <w:pStyle w:val="BodyText"/>
        <w:spacing w:line="360" w:lineRule="exact"/>
        <w:ind w:right="755"/>
        <w:rPr>
          <w:sz w:val="24"/>
          <w:szCs w:val="24"/>
        </w:rPr>
      </w:pPr>
      <w:r w:rsidRPr="001C7E89">
        <w:rPr>
          <w:sz w:val="24"/>
          <w:szCs w:val="24"/>
        </w:rPr>
        <w:t xml:space="preserve">To register or refer someone to CPSMP, go to the Arizona Living Well Institute online referral at </w:t>
      </w:r>
      <w:hyperlink r:id="rId7" w:history="1">
        <w:r w:rsidRPr="001C7E89">
          <w:rPr>
            <w:rStyle w:val="Hyperlink"/>
            <w:sz w:val="24"/>
            <w:szCs w:val="24"/>
          </w:rPr>
          <w:t>https://azcrn.azlwi.org/azlwi/portlets/pace/ExternalReferral.aspx</w:t>
        </w:r>
      </w:hyperlink>
      <w:r>
        <w:rPr>
          <w:sz w:val="24"/>
          <w:szCs w:val="24"/>
        </w:rPr>
        <w:t xml:space="preserve">. </w:t>
      </w:r>
      <w:r w:rsidRPr="001C7E89">
        <w:rPr>
          <w:sz w:val="24"/>
          <w:szCs w:val="24"/>
        </w:rPr>
        <w:t>Simply fill in the appropriate information and hit the submit button.  You can also contact the Institute at (480) – 982-3118.</w:t>
      </w:r>
    </w:p>
    <w:p w:rsidR="001C7E89" w:rsidRPr="001C7E89" w:rsidRDefault="001C7E89" w:rsidP="001C7E89">
      <w:pPr>
        <w:pStyle w:val="BodyText"/>
        <w:spacing w:line="360" w:lineRule="exact"/>
        <w:ind w:right="755"/>
        <w:rPr>
          <w:sz w:val="24"/>
          <w:szCs w:val="24"/>
        </w:rPr>
      </w:pPr>
    </w:p>
    <w:p w:rsidR="001C7E89" w:rsidRDefault="001C7E89" w:rsidP="001C7E89">
      <w:pPr>
        <w:pStyle w:val="BodyText"/>
        <w:spacing w:line="360" w:lineRule="exact"/>
        <w:ind w:right="755"/>
      </w:pPr>
      <w:r w:rsidRPr="001C7E89">
        <w:tab/>
      </w:r>
    </w:p>
    <w:p w:rsidR="001C7E89" w:rsidRPr="001C7E89" w:rsidRDefault="001C7E89" w:rsidP="001C7E89">
      <w:pPr>
        <w:pStyle w:val="BodyText"/>
        <w:spacing w:line="360" w:lineRule="exact"/>
        <w:ind w:right="755"/>
      </w:pPr>
      <w:r>
        <w:t xml:space="preserve">                                                                                                                          </w:t>
      </w:r>
    </w:p>
    <w:p w:rsidR="001C7E89" w:rsidRDefault="001C7E89">
      <w:pPr>
        <w:pStyle w:val="BodyText"/>
        <w:spacing w:line="360" w:lineRule="exact"/>
        <w:ind w:right="755"/>
      </w:pPr>
      <w:r>
        <w:t xml:space="preserve">                                                                                                                                 </w:t>
      </w:r>
    </w:p>
    <w:p w:rsidR="00411C77" w:rsidRDefault="001C7E89" w:rsidP="00DA1533">
      <w:pPr>
        <w:jc w:val="both"/>
        <w:rPr>
          <w:rFonts w:ascii="Calibri" w:eastAsia="Calibri" w:hAnsi="Calibri" w:cs="Calibri"/>
          <w:noProof/>
          <w:sz w:val="20"/>
          <w:szCs w:val="20"/>
        </w:rPr>
      </w:pPr>
      <w:r>
        <w:rPr>
          <w:rFonts w:ascii="Calibri" w:eastAsia="Calibri" w:hAnsi="Calibri" w:cs="Calibri"/>
          <w:noProof/>
          <w:sz w:val="20"/>
          <w:szCs w:val="20"/>
        </w:rPr>
        <w:t xml:space="preserve">                                                                                                                                                                                                                       </w:t>
      </w:r>
      <w:r w:rsidR="00DA1533">
        <w:rPr>
          <w:rFonts w:ascii="Calibri" w:eastAsia="Calibri" w:hAnsi="Calibri" w:cs="Calibri"/>
          <w:noProof/>
          <w:sz w:val="20"/>
          <w:szCs w:val="20"/>
        </w:rPr>
        <w:t xml:space="preserve">        </w:t>
      </w:r>
      <w:r>
        <w:rPr>
          <w:rFonts w:ascii="Calibri" w:eastAsia="Calibri" w:hAnsi="Calibri" w:cs="Calibri"/>
          <w:noProof/>
          <w:sz w:val="20"/>
          <w:szCs w:val="20"/>
        </w:rPr>
        <w:t xml:space="preserve">            </w:t>
      </w:r>
      <w:r w:rsidR="00DA1533">
        <w:rPr>
          <w:rFonts w:ascii="Calibri" w:eastAsia="Calibri" w:hAnsi="Calibri" w:cs="Calibri"/>
          <w:noProof/>
          <w:sz w:val="20"/>
          <w:szCs w:val="20"/>
        </w:rPr>
        <w:drawing>
          <wp:inline distT="0" distB="0" distL="0" distR="0" wp14:anchorId="0A75806C" wp14:editId="58CC7657">
            <wp:extent cx="640080" cy="1256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 cy="1256030"/>
                    </a:xfrm>
                    <a:prstGeom prst="rect">
                      <a:avLst/>
                    </a:prstGeom>
                    <a:noFill/>
                  </pic:spPr>
                </pic:pic>
              </a:graphicData>
            </a:graphic>
          </wp:inline>
        </w:drawing>
      </w:r>
      <w:r>
        <w:rPr>
          <w:rFonts w:ascii="Calibri" w:eastAsia="Calibri" w:hAnsi="Calibri" w:cs="Calibri"/>
          <w:noProof/>
          <w:sz w:val="20"/>
          <w:szCs w:val="20"/>
        </w:rPr>
        <w:t xml:space="preserve">               </w:t>
      </w:r>
      <w:r w:rsidR="00DA1533">
        <w:rPr>
          <w:rFonts w:ascii="Calibri" w:eastAsia="Calibri" w:hAnsi="Calibri" w:cs="Calibri"/>
          <w:noProof/>
          <w:sz w:val="20"/>
          <w:szCs w:val="20"/>
        </w:rPr>
        <w:t xml:space="preserve">                            </w:t>
      </w:r>
    </w:p>
    <w:p w:rsidR="00411C77" w:rsidRDefault="00411C77">
      <w:pPr>
        <w:rPr>
          <w:rFonts w:ascii="Calibri" w:eastAsia="Calibri" w:hAnsi="Calibri" w:cs="Calibri"/>
          <w:sz w:val="20"/>
          <w:szCs w:val="20"/>
        </w:rPr>
      </w:pPr>
    </w:p>
    <w:p w:rsidR="00411C77" w:rsidRDefault="00411C77">
      <w:pPr>
        <w:rPr>
          <w:rFonts w:ascii="Calibri" w:eastAsia="Calibri" w:hAnsi="Calibri" w:cs="Calibri"/>
          <w:sz w:val="20"/>
          <w:szCs w:val="20"/>
        </w:rPr>
      </w:pPr>
    </w:p>
    <w:p w:rsidR="00411C77" w:rsidRDefault="00411C77">
      <w:pPr>
        <w:rPr>
          <w:rFonts w:ascii="Calibri" w:eastAsia="Calibri" w:hAnsi="Calibri" w:cs="Calibri"/>
          <w:sz w:val="20"/>
          <w:szCs w:val="20"/>
        </w:rPr>
      </w:pPr>
    </w:p>
    <w:p w:rsidR="00411C77" w:rsidRDefault="00411C77">
      <w:pPr>
        <w:rPr>
          <w:rFonts w:ascii="Calibri" w:eastAsia="Calibri" w:hAnsi="Calibri" w:cs="Calibri"/>
          <w:sz w:val="20"/>
          <w:szCs w:val="20"/>
        </w:rPr>
      </w:pPr>
    </w:p>
    <w:p w:rsidR="00411C77" w:rsidRDefault="00411C77">
      <w:pPr>
        <w:rPr>
          <w:rFonts w:ascii="Calibri" w:eastAsia="Calibri" w:hAnsi="Calibri" w:cs="Calibri"/>
          <w:sz w:val="20"/>
          <w:szCs w:val="20"/>
        </w:rPr>
      </w:pPr>
    </w:p>
    <w:p w:rsidR="00411C77" w:rsidRDefault="00411C77">
      <w:pPr>
        <w:rPr>
          <w:rFonts w:ascii="Calibri" w:eastAsia="Calibri" w:hAnsi="Calibri" w:cs="Calibri"/>
          <w:sz w:val="20"/>
          <w:szCs w:val="20"/>
        </w:rPr>
      </w:pPr>
    </w:p>
    <w:p w:rsidR="00411C77" w:rsidRDefault="00411C77">
      <w:pPr>
        <w:rPr>
          <w:rFonts w:ascii="Calibri" w:eastAsia="Calibri" w:hAnsi="Calibri" w:cs="Calibri"/>
          <w:sz w:val="20"/>
          <w:szCs w:val="20"/>
        </w:rPr>
      </w:pPr>
    </w:p>
    <w:p w:rsidR="00411C77" w:rsidRDefault="00411C77">
      <w:pPr>
        <w:rPr>
          <w:rFonts w:ascii="Calibri" w:eastAsia="Calibri" w:hAnsi="Calibri" w:cs="Calibri"/>
          <w:sz w:val="20"/>
          <w:szCs w:val="20"/>
        </w:rPr>
      </w:pPr>
    </w:p>
    <w:p w:rsidR="00411C77" w:rsidRDefault="00411C77">
      <w:pPr>
        <w:spacing w:before="3"/>
        <w:rPr>
          <w:rFonts w:ascii="Calibri" w:eastAsia="Calibri" w:hAnsi="Calibri" w:cs="Calibri"/>
          <w:sz w:val="16"/>
          <w:szCs w:val="16"/>
        </w:rPr>
      </w:pPr>
    </w:p>
    <w:p w:rsidR="00411C77" w:rsidRDefault="00411C77">
      <w:pPr>
        <w:spacing w:line="200" w:lineRule="atLeast"/>
        <w:ind w:left="10798"/>
        <w:rPr>
          <w:rFonts w:ascii="Calibri" w:eastAsia="Calibri" w:hAnsi="Calibri" w:cs="Calibri"/>
          <w:sz w:val="20"/>
          <w:szCs w:val="20"/>
        </w:rPr>
      </w:pPr>
    </w:p>
    <w:sectPr w:rsidR="00411C77">
      <w:type w:val="continuous"/>
      <w:pgSz w:w="12240" w:h="15840"/>
      <w:pgMar w:top="0" w:right="0" w:bottom="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80F32"/>
    <w:multiLevelType w:val="hybridMultilevel"/>
    <w:tmpl w:val="52226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ED77FA"/>
    <w:multiLevelType w:val="hybridMultilevel"/>
    <w:tmpl w:val="01F0B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411C77"/>
    <w:rsid w:val="001C7E89"/>
    <w:rsid w:val="00411C77"/>
    <w:rsid w:val="005947A0"/>
    <w:rsid w:val="00D66B38"/>
    <w:rsid w:val="00DA1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38"/>
    </w:pPr>
    <w:rPr>
      <w:rFonts w:ascii="Calibri" w:eastAsia="Calibri" w:hAnsi="Calibri"/>
      <w:sz w:val="30"/>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66B38"/>
    <w:rPr>
      <w:rFonts w:ascii="Tahoma" w:hAnsi="Tahoma" w:cs="Tahoma"/>
      <w:sz w:val="16"/>
      <w:szCs w:val="16"/>
    </w:rPr>
  </w:style>
  <w:style w:type="character" w:customStyle="1" w:styleId="BalloonTextChar">
    <w:name w:val="Balloon Text Char"/>
    <w:basedOn w:val="DefaultParagraphFont"/>
    <w:link w:val="BalloonText"/>
    <w:uiPriority w:val="99"/>
    <w:semiHidden/>
    <w:rsid w:val="00D66B38"/>
    <w:rPr>
      <w:rFonts w:ascii="Tahoma" w:hAnsi="Tahoma" w:cs="Tahoma"/>
      <w:sz w:val="16"/>
      <w:szCs w:val="16"/>
    </w:rPr>
  </w:style>
  <w:style w:type="character" w:styleId="Hyperlink">
    <w:name w:val="Hyperlink"/>
    <w:basedOn w:val="DefaultParagraphFont"/>
    <w:uiPriority w:val="99"/>
    <w:unhideWhenUsed/>
    <w:rsid w:val="001C7E89"/>
    <w:rPr>
      <w:color w:val="0000FF" w:themeColor="hyperlink"/>
      <w:u w:val="single"/>
    </w:rPr>
  </w:style>
  <w:style w:type="character" w:styleId="FollowedHyperlink">
    <w:name w:val="FollowedHyperlink"/>
    <w:basedOn w:val="DefaultParagraphFont"/>
    <w:uiPriority w:val="99"/>
    <w:semiHidden/>
    <w:unhideWhenUsed/>
    <w:rsid w:val="00DA153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s://azcrn.azlwi.org/azlwi/portlets/pace/ExternalReferral.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Maricopa County</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Walker - PHSX</dc:creator>
  <cp:lastModifiedBy>Maricopa County</cp:lastModifiedBy>
  <cp:revision>3</cp:revision>
  <cp:lastPrinted>2016-12-12T18:41:00Z</cp:lastPrinted>
  <dcterms:created xsi:type="dcterms:W3CDTF">2015-01-26T13:35:00Z</dcterms:created>
  <dcterms:modified xsi:type="dcterms:W3CDTF">2016-12-12T18:42:00Z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2014-11-12T00:00:00Z</vt:filetime>
  </property>
  <property fmtid="{D5CDD505-2E9C-101B-9397-08002B2CF9AE}" pid="3" name="LastSaved">
    <vt:filetime>2015-01-26T00:00:00Z</vt:filetime>
  </property>
</Properties>
</file>